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4250"/>
      </w:tblGrid>
      <w:tr w:rsidR="00164302" w:rsidRPr="00164302" w:rsidTr="00164302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302" w:rsidRPr="00164302" w:rsidRDefault="00164302" w:rsidP="00164302">
            <w:pPr>
              <w:rPr>
                <w:lang w:val="uk-UA"/>
              </w:rPr>
            </w:pPr>
            <w:r w:rsidRPr="00164302">
              <w:rPr>
                <w:b/>
                <w:bCs/>
                <w:lang w:val="uk-UA"/>
              </w:rPr>
              <w:t>ЗАТВЕРДЖЕНО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r w:rsidRPr="00164302">
              <w:rPr>
                <w:b/>
                <w:bCs/>
                <w:lang w:val="uk-UA"/>
              </w:rPr>
              <w:t>Наказ Міністерства освіти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r w:rsidRPr="00164302">
              <w:rPr>
                <w:b/>
                <w:bCs/>
                <w:lang w:val="uk-UA"/>
              </w:rPr>
              <w:t>і науки України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hyperlink r:id="rId4" w:anchor="n8" w:tgtFrame="_blank" w:history="1">
              <w:r w:rsidRPr="00164302">
                <w:rPr>
                  <w:rStyle w:val="a3"/>
                  <w:b/>
                  <w:bCs/>
                  <w:lang w:val="uk-UA"/>
                </w:rPr>
                <w:t>02.10.2014 № 1124</w:t>
              </w:r>
            </w:hyperlink>
          </w:p>
        </w:tc>
      </w:tr>
      <w:tr w:rsidR="00164302" w:rsidRPr="00164302" w:rsidTr="0016430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302" w:rsidRPr="00164302" w:rsidRDefault="00164302" w:rsidP="00164302">
            <w:pPr>
              <w:jc w:val="both"/>
              <w:rPr>
                <w:lang w:val="uk-UA"/>
              </w:rPr>
            </w:pPr>
            <w:bookmarkStart w:id="0" w:name="n3"/>
            <w:bookmarkEnd w:id="0"/>
            <w:r w:rsidRPr="00164302">
              <w:rPr>
                <w:b/>
                <w:bCs/>
                <w:lang w:val="uk-UA"/>
              </w:rPr>
              <w:br/>
            </w:r>
            <w:bookmarkStart w:id="1" w:name="_GoBack"/>
            <w:bookmarkEnd w:id="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302" w:rsidRPr="00164302" w:rsidRDefault="00164302" w:rsidP="00164302">
            <w:pPr>
              <w:jc w:val="both"/>
              <w:rPr>
                <w:lang w:val="uk-UA"/>
              </w:rPr>
            </w:pPr>
            <w:r w:rsidRPr="00164302">
              <w:rPr>
                <w:b/>
                <w:bCs/>
                <w:lang w:val="uk-UA"/>
              </w:rPr>
              <w:t>Зареєстровано в Міністерстві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r w:rsidRPr="00164302">
              <w:rPr>
                <w:b/>
                <w:bCs/>
                <w:lang w:val="uk-UA"/>
              </w:rPr>
              <w:t>юстиції України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r w:rsidRPr="00164302">
              <w:rPr>
                <w:b/>
                <w:bCs/>
                <w:lang w:val="uk-UA"/>
              </w:rPr>
              <w:t>27 жовтня 2014 р.</w:t>
            </w:r>
            <w:r w:rsidRPr="00164302">
              <w:rPr>
                <w:lang w:val="uk-UA"/>
              </w:rPr>
              <w:t> </w:t>
            </w:r>
            <w:r w:rsidRPr="00164302">
              <w:rPr>
                <w:lang w:val="uk-UA"/>
              </w:rPr>
              <w:br/>
            </w:r>
            <w:r w:rsidRPr="00164302">
              <w:rPr>
                <w:b/>
                <w:bCs/>
                <w:lang w:val="uk-UA"/>
              </w:rPr>
              <w:t>за № 1341/26118</w:t>
            </w:r>
          </w:p>
        </w:tc>
      </w:tr>
    </w:tbl>
    <w:p w:rsidR="00164302" w:rsidRPr="00164302" w:rsidRDefault="00164302" w:rsidP="00164302">
      <w:pPr>
        <w:ind w:left="142"/>
        <w:jc w:val="both"/>
        <w:rPr>
          <w:lang w:val="uk-UA"/>
        </w:rPr>
      </w:pPr>
      <w:bookmarkStart w:id="2" w:name="n4"/>
      <w:bookmarkEnd w:id="2"/>
      <w:r w:rsidRPr="00164302">
        <w:rPr>
          <w:b/>
          <w:bCs/>
          <w:lang w:val="uk-UA"/>
        </w:rPr>
        <w:t>ІНСТРУКЦІЯ </w:t>
      </w:r>
      <w:r w:rsidRPr="00164302">
        <w:rPr>
          <w:lang w:val="uk-UA"/>
        </w:rPr>
        <w:br/>
      </w:r>
      <w:r w:rsidRPr="00164302">
        <w:rPr>
          <w:b/>
          <w:bCs/>
          <w:lang w:val="uk-UA"/>
        </w:rPr>
        <w:t>щодо організації та проведення екскурсій і подорожей з учнівською та студентською молоддю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" w:name="n5"/>
      <w:bookmarkEnd w:id="3"/>
      <w:r w:rsidRPr="00164302">
        <w:rPr>
          <w:b/>
          <w:bCs/>
          <w:lang w:val="uk-UA"/>
        </w:rPr>
        <w:t>І. Загальні положення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" w:name="n6"/>
      <w:bookmarkEnd w:id="4"/>
      <w:r w:rsidRPr="00164302">
        <w:rPr>
          <w:lang w:val="uk-UA"/>
        </w:rPr>
        <w:t>1. Ця Інструкція розроблена з метою збереження життя і здоров’я вихованців, учнів, студентів під час проведення навчальними закладами, які перебувають у сфері управління Міністерства освіти і науки України, та органами управління освітою екскурсій, подорожей.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" w:name="n7"/>
      <w:bookmarkEnd w:id="5"/>
      <w:r w:rsidRPr="00164302">
        <w:rPr>
          <w:lang w:val="uk-UA"/>
        </w:rPr>
        <w:t>2. Дія цієї Інструкції поширюється на навчальні заклади, що перебувають у сфері управління Міністерства освіти і науки України, та на органи управління освітою, що організовують та проводять екскурсії, подорожі з вихованцями, учнями, студентами (далі - учасники).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" w:name="n8"/>
      <w:bookmarkEnd w:id="6"/>
      <w:r w:rsidRPr="00164302">
        <w:rPr>
          <w:lang w:val="uk-UA"/>
        </w:rPr>
        <w:t>3. Навчальні заклади під час підготовки та проведення екскурсій, подорожей керуються</w:t>
      </w:r>
      <w:r>
        <w:rPr>
          <w:lang w:val="uk-UA"/>
        </w:rPr>
        <w:t xml:space="preserve"> </w:t>
      </w:r>
      <w:hyperlink r:id="rId5" w:tgtFrame="_blank" w:history="1">
        <w:r w:rsidRPr="00164302">
          <w:rPr>
            <w:rStyle w:val="a3"/>
            <w:lang w:val="uk-UA"/>
          </w:rPr>
          <w:t>Конституцією</w:t>
        </w:r>
      </w:hyperlink>
      <w:r w:rsidRPr="00164302">
        <w:rPr>
          <w:lang w:val="uk-UA"/>
        </w:rPr>
        <w:t> та законами України, іншими нормативно-правовими актами та цією Інструкцією.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" w:name="n9"/>
      <w:bookmarkEnd w:id="7"/>
      <w:r w:rsidRPr="00164302">
        <w:rPr>
          <w:lang w:val="uk-UA"/>
        </w:rPr>
        <w:t>4. У цій Інструкції терміни вживаються в таких значеннях: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8" w:name="n10"/>
      <w:bookmarkEnd w:id="8"/>
      <w:r w:rsidRPr="00164302">
        <w:rPr>
          <w:lang w:val="uk-UA"/>
        </w:rPr>
        <w:t>дальня екскурсія, подорож - екскурсія, подорож за межі Автономної Республіки Крим або області, на території якої знаходиться навчальний заклад, орган управління освітою, що організовують та проводять екскурсію, подорож;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9" w:name="n11"/>
      <w:bookmarkEnd w:id="9"/>
      <w:r w:rsidRPr="00164302">
        <w:rPr>
          <w:lang w:val="uk-UA"/>
        </w:rPr>
        <w:t>екскурсія - колективне відвідування тривалістю до 24 годин з вихованцями, учнями, студентами визначних місць з освітньою, навчально-виховною, науковою, пізнавальною чи розважальною метою у складі організованої групи під керівництвом осіб, призначених у порядку, встановленому цією Інструкцією;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0" w:name="n12"/>
      <w:bookmarkEnd w:id="10"/>
      <w:r w:rsidRPr="00164302">
        <w:rPr>
          <w:lang w:val="uk-UA"/>
        </w:rPr>
        <w:t>місцева екскурсія, подорож - екскурсія, подорож, що проводяться в межах Автономної Республіки Крим або області, на території якої знаходиться навчальний заклад, орган управління освітою, що організовують та проводять екскурсії, подорожі. Для навчальних закладів, розташованих у місті Києві та місті Севастополі, та відповідних органів управління освітою, що організовують та проводять екскурсії, подорожі, місцевими вважаються також екскурсії, подорожі територією відповідно Київської області та Автономної Республіки Крим;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1" w:name="n13"/>
      <w:bookmarkEnd w:id="11"/>
      <w:r w:rsidRPr="00164302">
        <w:rPr>
          <w:lang w:val="uk-UA"/>
        </w:rPr>
        <w:t>подорож - колективне відвідування тривалістю більше 24 годин вихованцями, учнями, студентами визначних місць з освітньою, навчально-виховною, науковою, пізнавальною чи розважальною метою у складі організованої групи під керівництвом осіб, призначених у порядку, встановленому цією Інструкцією.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2" w:name="n14"/>
      <w:bookmarkEnd w:id="12"/>
      <w:r w:rsidRPr="00164302">
        <w:rPr>
          <w:b/>
          <w:bCs/>
          <w:lang w:val="uk-UA"/>
        </w:rPr>
        <w:t>ІІ. Повноваження керівника навчального закладу, органу управління освітою, що організовує та проводить екскурсію, подорож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3" w:name="n15"/>
      <w:bookmarkEnd w:id="13"/>
      <w:r w:rsidRPr="00164302">
        <w:rPr>
          <w:lang w:val="uk-UA"/>
        </w:rPr>
        <w:t>1. Керівник навчального закладу, що організовує та проводить екскурсію, подорож, приймає рішення про її проведення без погодження з органами управління освітою.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4" w:name="n16"/>
      <w:bookmarkEnd w:id="14"/>
      <w:r w:rsidRPr="00164302">
        <w:rPr>
          <w:lang w:val="uk-UA"/>
        </w:rPr>
        <w:t>2. У разі прийняття рішення про організацію та проведення екскурсії, подорожі керівник навчального закладу, органу управління освітою зобов’язаний: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5" w:name="n17"/>
      <w:bookmarkEnd w:id="15"/>
      <w:r w:rsidRPr="00164302">
        <w:rPr>
          <w:lang w:val="uk-UA"/>
        </w:rPr>
        <w:t>1) сприяти підготовці та проведенню екскурсії, подорожі;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6" w:name="n18"/>
      <w:bookmarkEnd w:id="16"/>
      <w:r w:rsidRPr="00164302">
        <w:rPr>
          <w:lang w:val="uk-UA"/>
        </w:rPr>
        <w:lastRenderedPageBreak/>
        <w:t>2) видати наказ про проведення екскурсії, подорожі, у якому: визначити мету, строк проведення, призначити керівника групи, що проводить екскурсію, подорож, його заступника (заступників), затвердити склад учасників та маршрут екскурсії, подорожі;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7" w:name="n19"/>
      <w:bookmarkEnd w:id="17"/>
      <w:r w:rsidRPr="00164302">
        <w:rPr>
          <w:lang w:val="uk-UA"/>
        </w:rPr>
        <w:t>3) провести інструктаж з питань охорони праці та безпеки життєдіяльності під час екскурсії, подорожі з керівником групи, що проводить екскурсію, подорож, його заступником (заступниками) згідно з вимогами </w:t>
      </w:r>
      <w:hyperlink r:id="rId6" w:tgtFrame="_blank" w:history="1">
        <w:r w:rsidRPr="00164302">
          <w:rPr>
            <w:rStyle w:val="a3"/>
            <w:lang w:val="uk-UA"/>
          </w:rPr>
          <w:t>Положення  про організацію роботи з охорони праці учасників навчально-виховного процесу в установах і навчальних закладах</w:t>
        </w:r>
      </w:hyperlink>
      <w:r w:rsidRPr="00164302">
        <w:rPr>
          <w:lang w:val="uk-UA"/>
        </w:rPr>
        <w:t>, затвердженого наказом Міністерства освіти і науки України від 01 серпня 2001 року № 563, зареєстрованого в Міністерстві юстиції України 20 листопада 2001 року за № 969/6160;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8" w:name="n20"/>
      <w:bookmarkEnd w:id="18"/>
      <w:r w:rsidRPr="00164302">
        <w:rPr>
          <w:lang w:val="uk-UA"/>
        </w:rPr>
        <w:t>4) видати керівнику групи копію наказу про проведення екскурсії, подорожі та список учасників екскурсії, подорожі, засвідчені у встановленому законодавством порядку;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19" w:name="n21"/>
      <w:bookmarkEnd w:id="19"/>
      <w:r w:rsidRPr="00164302">
        <w:rPr>
          <w:lang w:val="uk-UA"/>
        </w:rPr>
        <w:t>5) контролювати своєчасне повернення групи, що перебуває на екскурсії, у подорожі;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0" w:name="n22"/>
      <w:bookmarkEnd w:id="20"/>
      <w:r w:rsidRPr="00164302">
        <w:rPr>
          <w:lang w:val="uk-UA"/>
        </w:rPr>
        <w:t>6) у разі неповернення групи, що перебуває на екскурсії, у подорожі, у встановлений час терміново встановити зв’язок з керівником групи, з’ясувати причини затримки та потребу в наданні допомоги. У разі необхідності або при неможливості зв’язатися з групою, встановити зв’язок з територіальними органами управління освітою, органами внутрішніх справ, відповідною аварійно-рятувальною службою для з’ясування місцезнаходження групи та надання їй за потреби допомоги;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1" w:name="n23"/>
      <w:bookmarkEnd w:id="21"/>
      <w:r w:rsidRPr="00164302">
        <w:rPr>
          <w:lang w:val="uk-UA"/>
        </w:rPr>
        <w:t>7) після завершення екскурсії, подорожі заслухати інформацію керівника групи про їх результати.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2" w:name="n24"/>
      <w:bookmarkEnd w:id="22"/>
      <w:r w:rsidRPr="00164302">
        <w:rPr>
          <w:b/>
          <w:bCs/>
          <w:lang w:val="uk-UA"/>
        </w:rPr>
        <w:t>ІІІ. Формування груп, що здійснюють екскурсію, подорож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3" w:name="n25"/>
      <w:bookmarkEnd w:id="23"/>
      <w:r w:rsidRPr="00164302">
        <w:rPr>
          <w:lang w:val="uk-UA"/>
        </w:rPr>
        <w:t>1. Групи, що здійснюють екскурсію, подорож, формуються з числа учасників, які об’єднуються на добровільних засадах за спільними інтересами. До складу групи включаються тільки учасники, які придатні за станом здоров’я для участі у запланованій екскурсії, подорожі.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4" w:name="n26"/>
      <w:bookmarkEnd w:id="24"/>
      <w:r w:rsidRPr="00164302">
        <w:rPr>
          <w:lang w:val="uk-UA"/>
        </w:rPr>
        <w:t>2. Кількісний склад групи, що здійснює екскурсію, подорож, визначається керівником групи спільно з навчальним закладом, який організовує та проводить екскурсію, подорож. До складу групи, що здійснює екскурсію, подорож, може входити від 10 до 40 учасників віком від 6 років.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5" w:name="n27"/>
      <w:bookmarkEnd w:id="25"/>
      <w:r w:rsidRPr="00164302">
        <w:rPr>
          <w:lang w:val="uk-UA"/>
        </w:rPr>
        <w:t>При проведенні автобусних екскурсій, подорожей кількісний склад групи, що здійснює екскурсію, подорож, визначається з урахуванням кількості місць для сидіння в автобусі.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6" w:name="n28"/>
      <w:bookmarkEnd w:id="26"/>
      <w:r w:rsidRPr="00164302">
        <w:rPr>
          <w:lang w:val="uk-UA"/>
        </w:rPr>
        <w:t>3. Вік керівників та заступників керівників групи, що проводить екскурсію, подорож, повинен бути старше 18 років.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7" w:name="n29"/>
      <w:bookmarkEnd w:id="27"/>
      <w:r w:rsidRPr="00164302">
        <w:rPr>
          <w:lang w:val="uk-UA"/>
        </w:rPr>
        <w:t>4. Керівник та/або заступник керівника групи повинен вміти надавати першу домедичну допомогу.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8" w:name="n30"/>
      <w:bookmarkEnd w:id="28"/>
      <w:r w:rsidRPr="00164302">
        <w:rPr>
          <w:lang w:val="uk-UA"/>
        </w:rPr>
        <w:t>5. Фахівець туристичного супроводу, який не є працівником навчального закладу, що проводить екскурсію або подорож, повинен відповідати кваліфікаційним вимогам, визначеним центральним органом виконавчої влади, що забезпечує формування державної політики у сфері туризму та курортів, за погодженням із центральним органом виконавчої влади, що забезпечує формування державної політики у сфері трудових відносин.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29" w:name="n31"/>
      <w:bookmarkEnd w:id="29"/>
      <w:r w:rsidRPr="00164302">
        <w:rPr>
          <w:lang w:val="uk-UA"/>
        </w:rPr>
        <w:t>6. При проведенні екскурсій (крім автобусних) у межах населеного пункту, де проживають або навчаються учасники екскурсії, призначення заступника керівника екскурсійної  групи не є обов’язковим.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0" w:name="n32"/>
      <w:bookmarkEnd w:id="30"/>
      <w:r w:rsidRPr="00164302">
        <w:rPr>
          <w:lang w:val="uk-UA"/>
        </w:rPr>
        <w:t xml:space="preserve">При проведенні екскурсій, подорожей з використанням будь-яких видів транспорту (крім автомобільного), пов’язаних з виїздом за межі населеного пункту, де проживають або навчаються учасники групи, керівний склад групи призначається із розрахунку: один </w:t>
      </w:r>
      <w:r w:rsidRPr="00164302">
        <w:rPr>
          <w:lang w:val="uk-UA"/>
        </w:rPr>
        <w:lastRenderedPageBreak/>
        <w:t>керівник та один заступник керівника на кожні 25 учасників та додатково один заступник керівника на кожні наступні 10 учасників.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1" w:name="n33"/>
      <w:bookmarkEnd w:id="31"/>
      <w:r w:rsidRPr="00164302">
        <w:rPr>
          <w:lang w:val="uk-UA"/>
        </w:rPr>
        <w:t>При проведенні автобусних екскурсій, подорожей керівний склад групи призначається згідно з вимогами </w:t>
      </w:r>
      <w:hyperlink r:id="rId7" w:tgtFrame="_blank" w:history="1">
        <w:r w:rsidRPr="00164302">
          <w:rPr>
            <w:rStyle w:val="a3"/>
            <w:lang w:val="uk-UA"/>
          </w:rPr>
          <w:t>Правил надання послуг пасажирського автомобільного транспорту</w:t>
        </w:r>
      </w:hyperlink>
      <w:r w:rsidRPr="00164302">
        <w:rPr>
          <w:lang w:val="uk-UA"/>
        </w:rPr>
        <w:t>, затверджених постановою Кабінету Міністрів України від 18 лютого 1997 року № 176 (зі змінами).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2" w:name="n34"/>
      <w:bookmarkEnd w:id="32"/>
      <w:r w:rsidRPr="00164302">
        <w:rPr>
          <w:lang w:val="uk-UA"/>
        </w:rPr>
        <w:t>7. Кількість заступників керівника групи визначається керівником навчального закладу, що організовує та проводить екскурсію, подорож.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3" w:name="n35"/>
      <w:bookmarkEnd w:id="33"/>
      <w:r w:rsidRPr="00164302">
        <w:rPr>
          <w:lang w:val="uk-UA"/>
        </w:rPr>
        <w:t>8. Керівник групи може призначати помічників з числа учасників групи для допомоги керівнику у проведенні цього заходу.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4" w:name="n36"/>
      <w:bookmarkEnd w:id="34"/>
      <w:r w:rsidRPr="00164302">
        <w:rPr>
          <w:lang w:val="uk-UA"/>
        </w:rPr>
        <w:t>9. Учасники групи, що перебувають під час екскурсій, подорожей на території заповідників, заказників, національних парків, у прикордонній зоні тощо, зобов’язані дотримуватися порядку перебування на цих територіях відповідно до законодавства України.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5" w:name="n37"/>
      <w:bookmarkEnd w:id="35"/>
      <w:r w:rsidRPr="00164302">
        <w:rPr>
          <w:b/>
          <w:bCs/>
          <w:lang w:val="uk-UA"/>
        </w:rPr>
        <w:t>ІV. Права та обов’язки керівника та заступника керівника групи, що проводять екскурсію, подорож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6" w:name="n38"/>
      <w:bookmarkEnd w:id="36"/>
      <w:r w:rsidRPr="00164302">
        <w:rPr>
          <w:lang w:val="uk-UA"/>
        </w:rPr>
        <w:t>1. Керівник групи та його заступник (заступники) під час проведення екскурсії, подорожі відповідають за життя та здоров’я її учасників згідно із  законодавством України.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7" w:name="n39"/>
      <w:bookmarkEnd w:id="37"/>
      <w:r w:rsidRPr="00164302">
        <w:rPr>
          <w:lang w:val="uk-UA"/>
        </w:rPr>
        <w:t>2. Керівник групи, його заступник (заступники), що проводять екскурсію, подорож, зобов’язані: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8" w:name="n40"/>
      <w:bookmarkEnd w:id="38"/>
      <w:r w:rsidRPr="00164302">
        <w:rPr>
          <w:lang w:val="uk-UA"/>
        </w:rPr>
        <w:t>1) при організації підготовки екскурсії, подорожі: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39" w:name="n41"/>
      <w:bookmarkEnd w:id="39"/>
      <w:r w:rsidRPr="00164302">
        <w:rPr>
          <w:lang w:val="uk-UA"/>
        </w:rPr>
        <w:t>забезпечити комплектування груп учасниками відповідного віку та стану здоров’я;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0" w:name="n42"/>
      <w:bookmarkEnd w:id="40"/>
      <w:r w:rsidRPr="00164302">
        <w:rPr>
          <w:lang w:val="uk-UA"/>
        </w:rPr>
        <w:t>ознайомити учасників екскурсії, подорожі з планом та затвердженим маршрутом їх проведення, історичними та географічними особливостями території, об’єкта (об’єктів), де буде проходити екскурсія, подорож;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1" w:name="n43"/>
      <w:bookmarkEnd w:id="41"/>
      <w:r w:rsidRPr="00164302">
        <w:rPr>
          <w:lang w:val="uk-UA"/>
        </w:rPr>
        <w:t>провести цільовий інструктаж з учасниками з питань охорони праці та безпеки життєдіяльності під час екскурсії, подорожі згідно з вимогами </w:t>
      </w:r>
      <w:hyperlink r:id="rId8" w:tgtFrame="_blank" w:history="1">
        <w:r w:rsidRPr="00164302">
          <w:rPr>
            <w:rStyle w:val="a3"/>
            <w:lang w:val="uk-UA"/>
          </w:rPr>
          <w:t>Положення про організацію роботи з охорони праці учасників навчально-виховного процесу в установах і навчальних закладах</w:t>
        </w:r>
      </w:hyperlink>
      <w:r w:rsidRPr="00164302">
        <w:rPr>
          <w:lang w:val="uk-UA"/>
        </w:rPr>
        <w:t>, затвердженого наказом Міністерства освіти і науки України від 01 серпня 2001 року № 563, зареєстрованого в Міністерстві юстиції України 20 листопада 2001 року за № 969/6160;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2" w:name="n44"/>
      <w:bookmarkEnd w:id="42"/>
      <w:r w:rsidRPr="00164302">
        <w:rPr>
          <w:lang w:val="uk-UA"/>
        </w:rPr>
        <w:t>отримати копію наказу про проведення екскурсії, подорожі та список групи;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3" w:name="n45"/>
      <w:bookmarkEnd w:id="43"/>
      <w:r w:rsidRPr="00164302">
        <w:rPr>
          <w:lang w:val="uk-UA"/>
        </w:rPr>
        <w:t>провести збори батьків учасників екскурсії, подорожі (для дальніх екскурсій, подорожей учасників віком до 18 років);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4" w:name="n46"/>
      <w:bookmarkEnd w:id="44"/>
      <w:r w:rsidRPr="00164302">
        <w:rPr>
          <w:lang w:val="uk-UA"/>
        </w:rPr>
        <w:t>забезпечити під час екскурсії, подорожі додержання учасниками належного громадського порядку, виконання правил дорожнього руху, правил пожежної безпеки, безпеки життєдіяльності;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5" w:name="n47"/>
      <w:bookmarkEnd w:id="45"/>
      <w:r w:rsidRPr="00164302">
        <w:rPr>
          <w:lang w:val="uk-UA"/>
        </w:rPr>
        <w:t>провести інформування учасників екскурсії, подорожі про фактори ризику в запланованій екскурсії, подорожі (за їх наявності) і про відповідні заходи щодо запобігання травматизму;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6" w:name="n48"/>
      <w:bookmarkEnd w:id="46"/>
      <w:r w:rsidRPr="00164302">
        <w:rPr>
          <w:lang w:val="uk-UA"/>
        </w:rPr>
        <w:t>одержати, у разі потреби, дозвіл на відвідування об’єктів, територій, на яких встановлено особливий режим відвідування;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7" w:name="n49"/>
      <w:bookmarkEnd w:id="47"/>
      <w:r w:rsidRPr="00164302">
        <w:rPr>
          <w:lang w:val="uk-UA"/>
        </w:rPr>
        <w:t>розробити план дослідницької, краєзнавчої, природоохоронної роботи та інших заходів під час екскурсії, подорожі, якщо такі заплановано проводити;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8" w:name="n50"/>
      <w:bookmarkEnd w:id="48"/>
      <w:r w:rsidRPr="00164302">
        <w:rPr>
          <w:lang w:val="uk-UA"/>
        </w:rPr>
        <w:t>2) під час проведення екскурсії, подорожі: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49" w:name="n51"/>
      <w:bookmarkEnd w:id="49"/>
      <w:r w:rsidRPr="00164302">
        <w:rPr>
          <w:lang w:val="uk-UA"/>
        </w:rPr>
        <w:t>забезпечити дотримання правил пожежної безпеки, безпеки життєдіяльності, охорони природи, пам’яток історії і культури тощо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0" w:name="n52"/>
      <w:bookmarkEnd w:id="50"/>
      <w:r w:rsidRPr="00164302">
        <w:rPr>
          <w:lang w:val="uk-UA"/>
        </w:rPr>
        <w:t xml:space="preserve">вживати заходів, спрямованих на забезпечення безпеки учасників екскурсії, подорожі, зокрема щодо зміни маршруту, припинення екскурсії, подорожі у зв’язку з виникненням </w:t>
      </w:r>
      <w:r w:rsidRPr="00164302">
        <w:rPr>
          <w:lang w:val="uk-UA"/>
        </w:rPr>
        <w:lastRenderedPageBreak/>
        <w:t>небезпечних природних явищ та з інших обставин, що становлять загрозу безпеці учасників;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1" w:name="n53"/>
      <w:bookmarkEnd w:id="51"/>
      <w:r w:rsidRPr="00164302">
        <w:rPr>
          <w:lang w:val="uk-UA"/>
        </w:rPr>
        <w:t>дотримуватися затвердженого маршруту та плану екскурсії, подорожі (крім випадків, пов’язаних зі зміною маршруту чи плану з метою забезпечення безпеки учасників);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2" w:name="n54"/>
      <w:bookmarkEnd w:id="52"/>
      <w:r w:rsidRPr="00164302">
        <w:rPr>
          <w:lang w:val="uk-UA"/>
        </w:rPr>
        <w:t>не допускати безпідставного поділу групи, що здійснює екскурсію, подорож, відставання окремих учасників, а також вибуття окремих учасників екскурсії, подорожі без супроводу одного із заступників керівника (від’їзд одного чи декількох учасників можливий лише за умови, що в групі, що здійснює екскурсію, подорож, два або більше заступників керівника);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3" w:name="n55"/>
      <w:bookmarkEnd w:id="53"/>
      <w:r w:rsidRPr="00164302">
        <w:rPr>
          <w:lang w:val="uk-UA"/>
        </w:rPr>
        <w:t>при аварійній ситуації (раптовому виникненні умов, що загрожують життю та здоров’ю учасників екскурсії, подорожі) ужити заходів щодо збереження життя і здоров’я учасників екскурсії, подорожі, виходячи з конкретної ситуації та реальної наявності сил і засобів для ліквідації небезпечної ситуації;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4" w:name="n56"/>
      <w:bookmarkEnd w:id="54"/>
      <w:r w:rsidRPr="00164302">
        <w:rPr>
          <w:lang w:val="uk-UA"/>
        </w:rPr>
        <w:t>у разі нещасного випадку терміново організувати надання першої домедичної допомоги потерпілому та його доставку до закладу охорони здоров’я, викликати за потреби екстрену медичну допомогу;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5" w:name="n57"/>
      <w:bookmarkEnd w:id="55"/>
      <w:r w:rsidRPr="00164302">
        <w:rPr>
          <w:lang w:val="uk-UA"/>
        </w:rPr>
        <w:t>повідомити про нещасний випадок, що стався, керівнику навчального закладу, органу управління освітою, що проводить екскурсію, подорож, та інші відповідні служби;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6" w:name="n58"/>
      <w:bookmarkEnd w:id="56"/>
      <w:r w:rsidRPr="00164302">
        <w:rPr>
          <w:lang w:val="uk-UA"/>
        </w:rPr>
        <w:t>про нещасний випадок, що трапився під час дальніх екскурсій, подорожей, також повідомити відповідний орган управління освітою за місцезнаходженням групи;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7" w:name="n59"/>
      <w:bookmarkEnd w:id="57"/>
      <w:r w:rsidRPr="00164302">
        <w:rPr>
          <w:lang w:val="uk-UA"/>
        </w:rPr>
        <w:t>у разі користування під час екскурсії, подорожі залізничним транспортом забезпечити виконання вимог, встановлених </w:t>
      </w:r>
      <w:hyperlink r:id="rId9" w:tgtFrame="_blank" w:history="1">
        <w:r w:rsidRPr="00164302">
          <w:rPr>
            <w:rStyle w:val="a3"/>
            <w:lang w:val="uk-UA"/>
          </w:rPr>
          <w:t>Порядком обслуговування громадян залізничним транспортом</w:t>
        </w:r>
      </w:hyperlink>
      <w:r w:rsidRPr="00164302">
        <w:rPr>
          <w:lang w:val="uk-UA"/>
        </w:rPr>
        <w:t>, затвердженим постановою Кабінету Міністрів України від 19 березня 1997 року № 252 (зі змінами);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8" w:name="n60"/>
      <w:bookmarkEnd w:id="58"/>
      <w:r w:rsidRPr="00164302">
        <w:rPr>
          <w:lang w:val="uk-UA"/>
        </w:rPr>
        <w:t>3) після закінчення екскурсії, подорожі: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59" w:name="n61"/>
      <w:bookmarkEnd w:id="59"/>
      <w:r w:rsidRPr="00164302">
        <w:rPr>
          <w:lang w:val="uk-UA"/>
        </w:rPr>
        <w:t>повідомити навчальний заклад, орган управління освітою, що проводить екскурсію, подорож, про її завершення;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0" w:name="n62"/>
      <w:bookmarkEnd w:id="60"/>
      <w:r w:rsidRPr="00164302">
        <w:rPr>
          <w:lang w:val="uk-UA"/>
        </w:rPr>
        <w:t>за вимогою навчального закладу, органу управління освітою, що проводить екскурсію, подорож, надати звіт про їх проведення.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1" w:name="n63"/>
      <w:bookmarkEnd w:id="61"/>
      <w:r w:rsidRPr="00164302">
        <w:rPr>
          <w:lang w:val="uk-UA"/>
        </w:rPr>
        <w:t>3. Керівник групи, що проводить екскурсію, подорож, має право: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2" w:name="n64"/>
      <w:bookmarkEnd w:id="62"/>
      <w:r w:rsidRPr="00164302">
        <w:rPr>
          <w:lang w:val="uk-UA"/>
        </w:rPr>
        <w:t>враховуючи фізичний та моральний стан групи або окремих учасників і свій власний, припинити екскурсію, подорож;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3" w:name="n65"/>
      <w:bookmarkEnd w:id="63"/>
      <w:r w:rsidRPr="00164302">
        <w:rPr>
          <w:lang w:val="uk-UA"/>
        </w:rPr>
        <w:t>змінити маршрут, припинити екскурсію, подорож у зв’язку з виникненням небезпечних природних явищ та з інших обставин, що становлять загрозу життю, здоров’ю та безпеці учасників екскурсії, подорожі.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4" w:name="n66"/>
      <w:bookmarkEnd w:id="64"/>
      <w:r w:rsidRPr="00164302">
        <w:rPr>
          <w:b/>
          <w:bCs/>
          <w:lang w:val="uk-UA"/>
        </w:rPr>
        <w:t>V. Права та обов’язки учасника екскурсії, подорожі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5" w:name="n67"/>
      <w:bookmarkEnd w:id="65"/>
      <w:r w:rsidRPr="00164302">
        <w:rPr>
          <w:lang w:val="uk-UA"/>
        </w:rPr>
        <w:t>1. Учасник екскурсії, подорожі зобов’язаний: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6" w:name="n68"/>
      <w:bookmarkEnd w:id="66"/>
      <w:r w:rsidRPr="00164302">
        <w:rPr>
          <w:lang w:val="uk-UA"/>
        </w:rPr>
        <w:t>своєчасно виконувати розпорядження керівника групи, що проводить екскурсію, подорож, та його заступника (заступників);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7" w:name="n69"/>
      <w:bookmarkEnd w:id="67"/>
      <w:r w:rsidRPr="00164302">
        <w:rPr>
          <w:lang w:val="uk-UA"/>
        </w:rPr>
        <w:t>своєчасно повідомляти керівника групи, що проводить екскурсію, подорож, або його заступника про погіршення стану здоров’я чи травму;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8" w:name="n70"/>
      <w:bookmarkEnd w:id="68"/>
      <w:r w:rsidRPr="00164302">
        <w:rPr>
          <w:lang w:val="uk-UA"/>
        </w:rPr>
        <w:t>дотримуватись громадського порядку, виконувати правила дорожнього руху, пожежної безпеки, безпеки життєдіяльності;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69" w:name="n71"/>
      <w:bookmarkEnd w:id="69"/>
      <w:r w:rsidRPr="00164302">
        <w:rPr>
          <w:lang w:val="uk-UA"/>
        </w:rPr>
        <w:t>не порушувати права та законні інтереси інших осіб;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0" w:name="n72"/>
      <w:bookmarkEnd w:id="70"/>
      <w:r w:rsidRPr="00164302">
        <w:rPr>
          <w:lang w:val="uk-UA"/>
        </w:rPr>
        <w:t>при знаходженні зброї, вибухонебезпечних та незнайомих предметів не торкатися і не зрушувати їх з місця; про їх місцезнаходження терміново повідомити керівника групи, що проводить екскурсію, подорож, або його заступника, які за першої нагоди зобов’язані повідомити про такі предмети відповідні місцеві органи виконавчої влади та/або органи місцевого самоврядування;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1" w:name="n73"/>
      <w:bookmarkEnd w:id="71"/>
      <w:r w:rsidRPr="00164302">
        <w:rPr>
          <w:lang w:val="uk-UA"/>
        </w:rPr>
        <w:lastRenderedPageBreak/>
        <w:t>з повагою ставитися до місцевих жителів, їх звичаїв і традицій;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2" w:name="n74"/>
      <w:bookmarkEnd w:id="72"/>
      <w:r w:rsidRPr="00164302">
        <w:rPr>
          <w:lang w:val="uk-UA"/>
        </w:rPr>
        <w:t>зберігати довкілля, дбайливо ставитися до об’єктів природи, пам’яток історії, культури.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3" w:name="n75"/>
      <w:bookmarkEnd w:id="73"/>
      <w:r w:rsidRPr="00164302">
        <w:rPr>
          <w:lang w:val="uk-UA"/>
        </w:rPr>
        <w:t>2. Учасник екскурсії, подорожі має право: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4" w:name="n76"/>
      <w:bookmarkEnd w:id="74"/>
      <w:r w:rsidRPr="00164302">
        <w:rPr>
          <w:lang w:val="uk-UA"/>
        </w:rPr>
        <w:t>на особисту безпеку, захист життя, здоров’я;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5" w:name="n77"/>
      <w:bookmarkEnd w:id="75"/>
      <w:r w:rsidRPr="00164302">
        <w:rPr>
          <w:lang w:val="uk-UA"/>
        </w:rPr>
        <w:t>брати участь у виборі теми та маршруту екскурсії, подорожі;</w:t>
      </w:r>
    </w:p>
    <w:p w:rsidR="00164302" w:rsidRPr="00164302" w:rsidRDefault="00164302" w:rsidP="00164302">
      <w:pPr>
        <w:jc w:val="both"/>
        <w:rPr>
          <w:lang w:val="uk-UA"/>
        </w:rPr>
      </w:pPr>
      <w:bookmarkStart w:id="76" w:name="n78"/>
      <w:bookmarkEnd w:id="76"/>
      <w:r w:rsidRPr="00164302">
        <w:rPr>
          <w:lang w:val="uk-UA"/>
        </w:rPr>
        <w:t>при погіршенні стану здоров’я чи травмі наполягати на припиненні участі в екскурсії, подорожі;</w:t>
      </w:r>
    </w:p>
    <w:p w:rsidR="00164302" w:rsidRDefault="00164302" w:rsidP="00164302">
      <w:pPr>
        <w:jc w:val="both"/>
        <w:rPr>
          <w:lang w:val="uk-UA"/>
        </w:rPr>
      </w:pPr>
      <w:bookmarkStart w:id="77" w:name="n79"/>
      <w:bookmarkEnd w:id="77"/>
      <w:r w:rsidRPr="00164302">
        <w:rPr>
          <w:lang w:val="uk-UA"/>
        </w:rPr>
        <w:t>інші права відповідно до чинного законодавства.</w:t>
      </w:r>
    </w:p>
    <w:p w:rsidR="00164302" w:rsidRDefault="00164302" w:rsidP="00164302">
      <w:pPr>
        <w:jc w:val="both"/>
        <w:rPr>
          <w:lang w:val="uk-UA"/>
        </w:rPr>
      </w:pPr>
    </w:p>
    <w:p w:rsidR="00164302" w:rsidRPr="00164302" w:rsidRDefault="00164302" w:rsidP="00164302">
      <w:pPr>
        <w:jc w:val="both"/>
        <w:rPr>
          <w:lang w:val="uk-UA"/>
        </w:rPr>
      </w:pPr>
      <w:r w:rsidRPr="00164302">
        <w:rPr>
          <w:b/>
          <w:bCs/>
          <w:lang w:val="uk-UA"/>
        </w:rPr>
        <w:t>Директор департаменту</w:t>
      </w:r>
      <w:r w:rsidRPr="00164302">
        <w:rPr>
          <w:lang w:val="uk-UA"/>
        </w:rPr>
        <w:t> </w:t>
      </w:r>
      <w:r w:rsidRPr="00164302">
        <w:rPr>
          <w:b/>
          <w:bCs/>
          <w:lang w:val="uk-UA"/>
        </w:rPr>
        <w:t>професійно-технічної освіти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164302">
        <w:rPr>
          <w:b/>
          <w:bCs/>
          <w:lang w:val="uk-UA"/>
        </w:rPr>
        <w:t>В.В. Супрун</w:t>
      </w:r>
    </w:p>
    <w:p w:rsidR="0013649D" w:rsidRPr="00164302" w:rsidRDefault="0013649D" w:rsidP="00164302">
      <w:pPr>
        <w:jc w:val="both"/>
        <w:rPr>
          <w:lang w:val="uk-UA"/>
        </w:rPr>
      </w:pPr>
      <w:bookmarkStart w:id="78" w:name="n80"/>
      <w:bookmarkEnd w:id="78"/>
    </w:p>
    <w:sectPr w:rsidR="0013649D" w:rsidRPr="00164302" w:rsidSect="0016430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A2"/>
    <w:rsid w:val="0013649D"/>
    <w:rsid w:val="00164302"/>
    <w:rsid w:val="004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5AA8-6A7D-4556-BF99-AB6648C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69-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76-97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969-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z1340-14/paran8" TargetMode="External"/><Relationship Id="rId9" Type="http://schemas.openxmlformats.org/officeDocument/2006/relationships/hyperlink" Target="http://zakon2.rada.gov.ua/laws/show/252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2015-03-02T14:20:00Z</dcterms:created>
  <dcterms:modified xsi:type="dcterms:W3CDTF">2015-03-02T14:22:00Z</dcterms:modified>
</cp:coreProperties>
</file>